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ind w:firstLine="0" w:firstLineChars="0"/>
        <w:jc w:val="center"/>
        <w:rPr>
          <w:rFonts w:cs="Times New Roman"/>
          <w:b/>
          <w:bCs/>
          <w:color w:val="auto"/>
          <w:sz w:val="18"/>
          <w:szCs w:val="18"/>
        </w:rPr>
      </w:pPr>
      <w:r>
        <w:rPr>
          <w:rFonts w:hint="eastAsia" w:cs="Times New Roman"/>
          <w:b/>
          <w:bCs/>
          <w:color w:val="auto"/>
          <w:sz w:val="18"/>
          <w:szCs w:val="18"/>
        </w:rPr>
        <w:t>美国科学数据战略规划</w:t>
      </w:r>
    </w:p>
    <w:p>
      <w:pPr>
        <w:spacing w:after="156" w:afterLines="50"/>
        <w:ind w:firstLine="0" w:firstLineChars="0"/>
        <w:jc w:val="center"/>
        <w:rPr>
          <w:rFonts w:cs="Times New Roman"/>
          <w:b/>
          <w:bCs/>
          <w:color w:val="auto"/>
          <w:sz w:val="18"/>
          <w:szCs w:val="18"/>
        </w:rPr>
      </w:pPr>
      <w:bookmarkStart w:id="0" w:name="_GoBack"/>
      <w:bookmarkEnd w:id="0"/>
      <w:r>
        <w:rPr>
          <w:rFonts w:hint="eastAsia" w:cs="Times New Roman"/>
          <w:b/>
          <w:bCs/>
          <w:color w:val="auto"/>
          <w:sz w:val="18"/>
          <w:szCs w:val="18"/>
        </w:rPr>
        <w:t>Strategic Plan for Scientific Data in the United States</w:t>
      </w:r>
    </w:p>
    <w:tbl>
      <w:tblPr>
        <w:tblStyle w:val="3"/>
        <w:tblW w:w="8398"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1663"/>
        <w:gridCol w:w="3125"/>
        <w:gridCol w:w="121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97" w:type="dxa"/>
            <w:tcBorders>
              <w:tl2br w:val="nil"/>
              <w:tr2bl w:val="nil"/>
            </w:tcBorders>
            <w:vAlign w:val="center"/>
          </w:tcPr>
          <w:p>
            <w:pPr>
              <w:spacing w:line="240" w:lineRule="auto"/>
              <w:ind w:firstLine="0" w:firstLineChars="0"/>
              <w:jc w:val="center"/>
              <w:rPr>
                <w:rFonts w:cs="Times New Roman"/>
                <w:color w:val="auto"/>
                <w:sz w:val="18"/>
                <w:szCs w:val="18"/>
              </w:rPr>
            </w:pPr>
            <w:r>
              <w:rPr>
                <w:rFonts w:hint="eastAsia" w:cs="Times New Roman"/>
                <w:color w:val="auto"/>
                <w:sz w:val="18"/>
                <w:szCs w:val="18"/>
              </w:rPr>
              <w:t>战略规划</w:t>
            </w:r>
          </w:p>
        </w:tc>
        <w:tc>
          <w:tcPr>
            <w:tcW w:w="1663" w:type="dxa"/>
            <w:tcBorders>
              <w:tl2br w:val="nil"/>
              <w:tr2bl w:val="nil"/>
            </w:tcBorders>
            <w:vAlign w:val="center"/>
          </w:tcPr>
          <w:p>
            <w:pPr>
              <w:spacing w:line="240" w:lineRule="auto"/>
              <w:ind w:firstLine="0" w:firstLineChars="0"/>
              <w:jc w:val="center"/>
              <w:rPr>
                <w:rFonts w:cs="Times New Roman"/>
                <w:color w:val="auto"/>
                <w:sz w:val="18"/>
                <w:szCs w:val="18"/>
              </w:rPr>
            </w:pPr>
            <w:r>
              <w:rPr>
                <w:rFonts w:hint="eastAsia" w:cs="Times New Roman"/>
                <w:color w:val="auto"/>
                <w:sz w:val="18"/>
                <w:szCs w:val="18"/>
              </w:rPr>
              <w:t>机构</w:t>
            </w:r>
          </w:p>
        </w:tc>
        <w:tc>
          <w:tcPr>
            <w:tcW w:w="3125" w:type="dxa"/>
            <w:tcBorders>
              <w:tl2br w:val="nil"/>
              <w:tr2bl w:val="nil"/>
            </w:tcBorders>
            <w:vAlign w:val="center"/>
          </w:tcPr>
          <w:p>
            <w:pPr>
              <w:spacing w:line="240" w:lineRule="auto"/>
              <w:ind w:firstLine="0" w:firstLineChars="0"/>
              <w:jc w:val="center"/>
              <w:rPr>
                <w:rFonts w:cs="Times New Roman"/>
                <w:color w:val="auto"/>
                <w:sz w:val="18"/>
                <w:szCs w:val="18"/>
              </w:rPr>
            </w:pPr>
            <w:r>
              <w:rPr>
                <w:rFonts w:hint="eastAsia" w:cs="Times New Roman"/>
                <w:color w:val="auto"/>
                <w:sz w:val="18"/>
                <w:szCs w:val="18"/>
              </w:rPr>
              <w:t>要点</w:t>
            </w:r>
          </w:p>
        </w:tc>
        <w:tc>
          <w:tcPr>
            <w:tcW w:w="1213" w:type="dxa"/>
            <w:tcBorders>
              <w:tl2br w:val="nil"/>
              <w:tr2bl w:val="nil"/>
            </w:tcBorders>
            <w:vAlign w:val="center"/>
          </w:tcPr>
          <w:p>
            <w:pPr>
              <w:spacing w:line="240" w:lineRule="auto"/>
              <w:ind w:firstLine="0" w:firstLineChars="0"/>
              <w:jc w:val="center"/>
              <w:rPr>
                <w:rFonts w:cs="Times New Roman"/>
                <w:color w:val="auto"/>
                <w:sz w:val="18"/>
                <w:szCs w:val="18"/>
              </w:rPr>
            </w:pPr>
            <w:r>
              <w:rPr>
                <w:rFonts w:hint="eastAsia" w:cs="Times New Roman"/>
                <w:color w:val="auto"/>
                <w:sz w:val="18"/>
                <w:szCs w:val="18"/>
              </w:rPr>
              <w:t>发布时间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97" w:type="dxa"/>
            <w:tcBorders>
              <w:tl2br w:val="nil"/>
              <w:tr2bl w:val="nil"/>
            </w:tcBorders>
            <w:vAlign w:val="center"/>
          </w:tcPr>
          <w:p>
            <w:pPr>
              <w:spacing w:line="240" w:lineRule="auto"/>
              <w:ind w:firstLine="0" w:firstLineChars="0"/>
              <w:rPr>
                <w:rFonts w:cs="Times New Roman"/>
                <w:color w:val="auto"/>
                <w:sz w:val="18"/>
                <w:szCs w:val="18"/>
              </w:rPr>
            </w:pPr>
            <w:r>
              <w:rPr>
                <w:rFonts w:cs="Times New Roman"/>
                <w:color w:val="auto"/>
                <w:sz w:val="18"/>
                <w:szCs w:val="18"/>
              </w:rPr>
              <w:t>“信息高速公路”计划</w:t>
            </w:r>
            <w:r>
              <w:rPr>
                <w:rFonts w:hint="eastAsia"/>
                <w:color w:val="auto"/>
                <w:vertAlign w:val="superscript"/>
              </w:rPr>
              <w:t>[</w:t>
            </w:r>
            <w:r>
              <w:rPr>
                <w:rFonts w:hint="eastAsia"/>
                <w:color w:val="auto"/>
                <w:vertAlign w:val="superscript"/>
                <w:lang w:val="en-US" w:eastAsia="zh-CN"/>
              </w:rPr>
              <w:t>36</w:t>
            </w:r>
            <w:r>
              <w:rPr>
                <w:rFonts w:hint="eastAsia"/>
                <w:color w:val="auto"/>
                <w:vertAlign w:val="superscript"/>
              </w:rPr>
              <w:t>]</w:t>
            </w:r>
          </w:p>
        </w:tc>
        <w:tc>
          <w:tcPr>
            <w:tcW w:w="1663" w:type="dxa"/>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shd w:val="clear" w:color="auto" w:fill="FFFFFF"/>
              </w:rPr>
              <w:t>白宫办公厅</w:t>
            </w:r>
          </w:p>
        </w:tc>
        <w:tc>
          <w:tcPr>
            <w:tcW w:w="3125" w:type="dxa"/>
            <w:tcBorders>
              <w:tl2br w:val="nil"/>
              <w:tr2bl w:val="nil"/>
            </w:tcBorders>
            <w:vAlign w:val="center"/>
          </w:tcPr>
          <w:p>
            <w:pPr>
              <w:spacing w:line="240" w:lineRule="auto"/>
              <w:ind w:firstLine="0" w:firstLineChars="0"/>
              <w:jc w:val="left"/>
              <w:rPr>
                <w:rFonts w:hint="eastAsia" w:eastAsia="宋体" w:cs="Times New Roman"/>
                <w:color w:val="auto"/>
                <w:sz w:val="18"/>
                <w:szCs w:val="18"/>
                <w:lang w:eastAsia="zh-CN"/>
              </w:rPr>
            </w:pPr>
            <w:r>
              <w:rPr>
                <w:rFonts w:cs="Times New Roman"/>
                <w:color w:val="auto"/>
                <w:sz w:val="18"/>
                <w:szCs w:val="18"/>
              </w:rPr>
              <w:t>计划用20年时间，建设美国国家信息基础设施（National In‐ formation Infrastructure，简称NII），</w:t>
            </w:r>
            <w:r>
              <w:rPr>
                <w:rFonts w:hint="eastAsia" w:cs="Times New Roman"/>
                <w:color w:val="auto"/>
                <w:sz w:val="18"/>
                <w:szCs w:val="18"/>
              </w:rPr>
              <w:t>以形成多通道、多端口的海量数字信息传输和接收系统</w:t>
            </w:r>
            <w:r>
              <w:rPr>
                <w:rFonts w:hint="eastAsia" w:cs="Times New Roman"/>
                <w:color w:val="auto"/>
                <w:sz w:val="18"/>
                <w:szCs w:val="18"/>
                <w:lang w:eastAsia="zh-CN"/>
              </w:rPr>
              <w:t>，</w:t>
            </w:r>
            <w:r>
              <w:rPr>
                <w:rFonts w:hint="eastAsia" w:cs="Times New Roman"/>
                <w:color w:val="auto"/>
                <w:sz w:val="18"/>
                <w:szCs w:val="18"/>
              </w:rPr>
              <w:t>并作为美国国家发展政策的重心和美国信息产业发展的基础基石</w:t>
            </w:r>
            <w:r>
              <w:rPr>
                <w:rFonts w:hint="eastAsia" w:cs="Times New Roman"/>
                <w:color w:val="auto"/>
                <w:sz w:val="18"/>
                <w:szCs w:val="18"/>
                <w:lang w:eastAsia="zh-CN"/>
              </w:rPr>
              <w:t>。</w:t>
            </w:r>
          </w:p>
        </w:tc>
        <w:tc>
          <w:tcPr>
            <w:tcW w:w="1213" w:type="dxa"/>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1993</w:t>
            </w:r>
            <w:r>
              <w:rPr>
                <w:rFonts w:hint="eastAsia" w:cs="Times New Roman"/>
                <w:color w:val="auto"/>
                <w:sz w:val="18"/>
                <w:szCs w:val="18"/>
              </w:rPr>
              <w:t>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97" w:type="dxa"/>
            <w:tcBorders>
              <w:tl2br w:val="nil"/>
              <w:tr2bl w:val="nil"/>
            </w:tcBorders>
            <w:vAlign w:val="center"/>
          </w:tcPr>
          <w:p>
            <w:pPr>
              <w:spacing w:line="240" w:lineRule="auto"/>
              <w:ind w:firstLine="0" w:firstLineChars="0"/>
              <w:rPr>
                <w:rFonts w:cs="Times New Roman"/>
                <w:color w:val="auto"/>
                <w:sz w:val="18"/>
                <w:szCs w:val="18"/>
              </w:rPr>
            </w:pPr>
            <w:r>
              <w:rPr>
                <w:rFonts w:cs="Times New Roman"/>
                <w:color w:val="auto"/>
                <w:sz w:val="18"/>
                <w:szCs w:val="18"/>
              </w:rPr>
              <w:t>《大数据研究和发展倡议</w:t>
            </w:r>
            <w:r>
              <w:rPr>
                <w:rFonts w:hint="eastAsia" w:cs="Times New Roman"/>
                <w:color w:val="auto"/>
                <w:sz w:val="18"/>
                <w:szCs w:val="18"/>
              </w:rPr>
              <w:t>》</w:t>
            </w:r>
          </w:p>
        </w:tc>
        <w:tc>
          <w:tcPr>
            <w:tcW w:w="1663" w:type="dxa"/>
            <w:tcBorders>
              <w:tl2br w:val="nil"/>
              <w:tr2bl w:val="nil"/>
            </w:tcBorders>
            <w:vAlign w:val="center"/>
          </w:tcPr>
          <w:p>
            <w:pPr>
              <w:spacing w:line="240" w:lineRule="auto"/>
              <w:ind w:firstLine="0" w:firstLineChars="0"/>
              <w:jc w:val="center"/>
              <w:rPr>
                <w:rFonts w:cs="Times New Roman"/>
                <w:color w:val="auto"/>
                <w:sz w:val="18"/>
                <w:szCs w:val="18"/>
              </w:rPr>
            </w:pPr>
            <w:r>
              <w:rPr>
                <w:rFonts w:cs="Times New Roman"/>
                <w:color w:val="auto"/>
                <w:sz w:val="18"/>
                <w:szCs w:val="18"/>
              </w:rPr>
              <w:t>白宫科技政策办公室(OSTP)</w:t>
            </w:r>
          </w:p>
        </w:tc>
        <w:tc>
          <w:tcPr>
            <w:tcW w:w="3125" w:type="dxa"/>
            <w:tcBorders>
              <w:tl2br w:val="nil"/>
              <w:tr2bl w:val="nil"/>
            </w:tcBorders>
            <w:vAlign w:val="center"/>
          </w:tcPr>
          <w:p>
            <w:pPr>
              <w:spacing w:line="240" w:lineRule="auto"/>
              <w:ind w:firstLine="0" w:firstLineChars="0"/>
              <w:jc w:val="left"/>
              <w:rPr>
                <w:rFonts w:cs="Times New Roman"/>
                <w:color w:val="auto"/>
                <w:sz w:val="18"/>
                <w:szCs w:val="18"/>
              </w:rPr>
            </w:pPr>
            <w:r>
              <w:rPr>
                <w:rFonts w:hint="eastAsia" w:cs="Times New Roman"/>
                <w:color w:val="auto"/>
                <w:sz w:val="18"/>
                <w:szCs w:val="18"/>
              </w:rPr>
              <w:t>要求DOD、DHS、DOE、HHS等机构及其下属部门开展多个项目，旨在应对大数据革命带来的挑战，并利用大数据革命提供的机会来推进机构任务，进一步促进科学发现和创新。</w:t>
            </w:r>
          </w:p>
        </w:tc>
        <w:tc>
          <w:tcPr>
            <w:tcW w:w="1213" w:type="dxa"/>
            <w:tcBorders>
              <w:tl2br w:val="nil"/>
              <w:tr2bl w:val="nil"/>
            </w:tcBorders>
            <w:vAlign w:val="center"/>
          </w:tcPr>
          <w:p>
            <w:pPr>
              <w:spacing w:line="240" w:lineRule="auto"/>
              <w:ind w:firstLine="0" w:firstLineChars="0"/>
              <w:jc w:val="center"/>
              <w:rPr>
                <w:rFonts w:cs="Times New Roman"/>
                <w:color w:val="auto"/>
                <w:sz w:val="18"/>
                <w:szCs w:val="18"/>
              </w:rPr>
            </w:pPr>
            <w:r>
              <w:rPr>
                <w:rFonts w:hint="eastAsia" w:cs="Times New Roman"/>
                <w:color w:val="auto"/>
                <w:sz w:val="18"/>
                <w:szCs w:val="18"/>
              </w:rPr>
              <w:t>2012年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97" w:type="dxa"/>
            <w:tcBorders>
              <w:tl2br w:val="nil"/>
              <w:tr2bl w:val="nil"/>
            </w:tcBorders>
            <w:vAlign w:val="center"/>
          </w:tcPr>
          <w:p>
            <w:pPr>
              <w:spacing w:line="240" w:lineRule="auto"/>
              <w:ind w:firstLine="0" w:firstLineChars="0"/>
              <w:rPr>
                <w:rFonts w:cs="Times New Roman"/>
                <w:color w:val="auto"/>
                <w:sz w:val="18"/>
                <w:szCs w:val="18"/>
              </w:rPr>
            </w:pPr>
            <w:r>
              <w:rPr>
                <w:rFonts w:cs="Times New Roman"/>
                <w:color w:val="auto"/>
                <w:sz w:val="18"/>
                <w:szCs w:val="18"/>
              </w:rPr>
              <w:t>《联邦大数据研发战略计划》</w:t>
            </w:r>
          </w:p>
        </w:tc>
        <w:tc>
          <w:tcPr>
            <w:tcW w:w="1663" w:type="dxa"/>
            <w:tcBorders>
              <w:tl2br w:val="nil"/>
              <w:tr2bl w:val="nil"/>
            </w:tcBorders>
            <w:vAlign w:val="center"/>
          </w:tcPr>
          <w:p>
            <w:pPr>
              <w:spacing w:line="240" w:lineRule="auto"/>
              <w:ind w:firstLine="0" w:firstLineChars="0"/>
              <w:rPr>
                <w:rFonts w:cs="Times New Roman"/>
                <w:color w:val="auto"/>
                <w:sz w:val="18"/>
                <w:szCs w:val="18"/>
              </w:rPr>
            </w:pPr>
            <w:r>
              <w:rPr>
                <w:rFonts w:cs="Times New Roman"/>
                <w:color w:val="auto"/>
                <w:sz w:val="18"/>
                <w:szCs w:val="18"/>
              </w:rPr>
              <w:t>白宫科技政策办公室(OSTP)</w:t>
            </w:r>
          </w:p>
        </w:tc>
        <w:tc>
          <w:tcPr>
            <w:tcW w:w="3125" w:type="dxa"/>
            <w:tcBorders>
              <w:tl2br w:val="nil"/>
              <w:tr2bl w:val="nil"/>
            </w:tcBorders>
            <w:vAlign w:val="center"/>
          </w:tcPr>
          <w:p>
            <w:pPr>
              <w:spacing w:line="240" w:lineRule="auto"/>
              <w:ind w:firstLine="0" w:firstLineChars="0"/>
              <w:rPr>
                <w:rFonts w:hint="eastAsia" w:eastAsia="宋体" w:cs="Times New Roman"/>
                <w:color w:val="auto"/>
                <w:sz w:val="18"/>
                <w:szCs w:val="18"/>
                <w:lang w:eastAsia="zh-CN"/>
              </w:rPr>
            </w:pPr>
            <w:r>
              <w:rPr>
                <w:rFonts w:hint="eastAsia" w:cs="Times New Roman"/>
                <w:color w:val="auto"/>
                <w:sz w:val="18"/>
                <w:szCs w:val="18"/>
              </w:rPr>
              <w:t>该计划源于政府于2012年启动的数据研究与开发倡议下启动的活动，旨在建成一个数据创新生态系统，大数据研发战略计划提供了一个共同的研发愿景，将推动直接造福社会和国家经济的应用。该计划由</w:t>
            </w:r>
            <w:r>
              <w:rPr>
                <w:rFonts w:hint="eastAsia" w:cs="Times New Roman"/>
                <w:color w:val="auto"/>
              </w:rPr>
              <w:t>BDSSG</w:t>
            </w:r>
            <w:r>
              <w:rPr>
                <w:rFonts w:hint="eastAsia" w:cs="Times New Roman"/>
                <w:color w:val="auto"/>
                <w:sz w:val="18"/>
                <w:szCs w:val="18"/>
              </w:rPr>
              <w:t>制定，其要点有：利用新兴的数据基础及技术创造新的数据分析系统；加强数据可信度管理；建立和加强研究网络基础设施；提高数据共享和管理的价值；重视数据共享及使用的隐私、安全和道德问题；改善大数据教育和培训的国家环境，以满足对数据深度分析人才和分析能力日益增长的需求</w:t>
            </w:r>
            <w:r>
              <w:rPr>
                <w:rFonts w:hint="eastAsia" w:cs="Times New Roman"/>
                <w:color w:val="auto"/>
                <w:sz w:val="18"/>
                <w:szCs w:val="18"/>
                <w:lang w:eastAsia="zh-CN"/>
              </w:rPr>
              <w:t>。</w:t>
            </w:r>
          </w:p>
        </w:tc>
        <w:tc>
          <w:tcPr>
            <w:tcW w:w="1213" w:type="dxa"/>
            <w:tcBorders>
              <w:tl2br w:val="nil"/>
              <w:tr2bl w:val="nil"/>
            </w:tcBorders>
            <w:vAlign w:val="center"/>
          </w:tcPr>
          <w:p>
            <w:pPr>
              <w:spacing w:line="240" w:lineRule="auto"/>
              <w:ind w:firstLine="0" w:firstLineChars="0"/>
              <w:jc w:val="center"/>
              <w:rPr>
                <w:rFonts w:cs="Times New Roman"/>
                <w:color w:val="auto"/>
                <w:sz w:val="18"/>
                <w:szCs w:val="18"/>
              </w:rPr>
            </w:pPr>
            <w:r>
              <w:rPr>
                <w:rFonts w:hint="eastAsia" w:cs="Times New Roman"/>
                <w:color w:val="auto"/>
                <w:sz w:val="18"/>
                <w:szCs w:val="18"/>
              </w:rPr>
              <w:t>2</w:t>
            </w:r>
            <w:r>
              <w:rPr>
                <w:rFonts w:cs="Times New Roman"/>
                <w:color w:val="auto"/>
                <w:sz w:val="18"/>
                <w:szCs w:val="18"/>
              </w:rPr>
              <w:t>016</w:t>
            </w:r>
            <w:r>
              <w:rPr>
                <w:rFonts w:hint="eastAsia" w:cs="Times New Roman"/>
                <w:color w:val="auto"/>
                <w:sz w:val="18"/>
                <w:szCs w:val="18"/>
              </w:rPr>
              <w:t>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97" w:type="dxa"/>
            <w:tcBorders>
              <w:tl2br w:val="nil"/>
              <w:tr2bl w:val="nil"/>
            </w:tcBorders>
            <w:vAlign w:val="center"/>
          </w:tcPr>
          <w:p>
            <w:pPr>
              <w:spacing w:line="240" w:lineRule="auto"/>
              <w:ind w:firstLine="0" w:firstLineChars="0"/>
              <w:rPr>
                <w:rFonts w:cs="Times New Roman"/>
                <w:color w:val="auto"/>
                <w:sz w:val="18"/>
                <w:szCs w:val="18"/>
              </w:rPr>
            </w:pPr>
            <w:r>
              <w:rPr>
                <w:rFonts w:hint="eastAsia" w:cs="Times New Roman"/>
                <w:color w:val="auto"/>
                <w:sz w:val="18"/>
                <w:szCs w:val="18"/>
              </w:rPr>
              <w:t>《联邦数据战略2020行动计划》</w:t>
            </w:r>
          </w:p>
        </w:tc>
        <w:tc>
          <w:tcPr>
            <w:tcW w:w="1663" w:type="dxa"/>
            <w:tcBorders>
              <w:tl2br w:val="nil"/>
              <w:tr2bl w:val="nil"/>
            </w:tcBorders>
            <w:vAlign w:val="center"/>
          </w:tcPr>
          <w:p>
            <w:pPr>
              <w:spacing w:line="240" w:lineRule="auto"/>
              <w:ind w:firstLine="0" w:firstLineChars="0"/>
              <w:rPr>
                <w:rFonts w:cs="Times New Roman"/>
                <w:color w:val="auto"/>
                <w:sz w:val="18"/>
                <w:szCs w:val="18"/>
              </w:rPr>
            </w:pPr>
            <w:r>
              <w:rPr>
                <w:rFonts w:hint="eastAsia" w:ascii="宋体" w:hAnsi="宋体" w:cs="宋体"/>
                <w:color w:val="auto"/>
                <w:sz w:val="18"/>
                <w:szCs w:val="18"/>
                <w:shd w:val="clear" w:color="auto" w:fill="FFFFFF"/>
              </w:rPr>
              <w:t>美国行政管理和预算局（OMB）</w:t>
            </w:r>
          </w:p>
        </w:tc>
        <w:tc>
          <w:tcPr>
            <w:tcW w:w="3125" w:type="dxa"/>
            <w:tcBorders>
              <w:tl2br w:val="nil"/>
              <w:tr2bl w:val="nil"/>
            </w:tcBorders>
            <w:vAlign w:val="center"/>
          </w:tcPr>
          <w:p>
            <w:pPr>
              <w:spacing w:line="240" w:lineRule="auto"/>
              <w:ind w:firstLine="0" w:firstLineChars="0"/>
              <w:rPr>
                <w:rFonts w:cs="Times New Roman"/>
                <w:color w:val="auto"/>
                <w:sz w:val="18"/>
                <w:szCs w:val="18"/>
              </w:rPr>
            </w:pPr>
            <w:r>
              <w:rPr>
                <w:rFonts w:hint="eastAsia" w:ascii="Arial" w:hAnsi="Arial" w:cs="Arial"/>
                <w:color w:val="auto"/>
                <w:sz w:val="18"/>
                <w:szCs w:val="18"/>
                <w:shd w:val="clear" w:color="auto" w:fill="FFFFFF"/>
              </w:rPr>
              <w:t>首要目标为“将数据做为战略资源开发”，计划</w:t>
            </w:r>
            <w:r>
              <w:rPr>
                <w:rFonts w:hint="eastAsia" w:ascii="宋体" w:hAnsi="宋体" w:cs="宋体"/>
                <w:color w:val="auto"/>
                <w:sz w:val="18"/>
                <w:szCs w:val="18"/>
                <w:shd w:val="clear" w:color="auto" w:fill="FFFFFF"/>
              </w:rPr>
              <w:t>提供了一种平衡和全面的方法从而能从整个数据资产组合中获取业务价值，同时保护数据安全，隐私和机密，并完成生命周期管理，成熟度模型、风险管理和分层访问，二次数据利用。</w:t>
            </w:r>
            <w:r>
              <w:rPr>
                <w:rFonts w:hint="eastAsia" w:ascii="Arial" w:hAnsi="Arial" w:cs="Arial"/>
                <w:color w:val="auto"/>
                <w:sz w:val="18"/>
                <w:szCs w:val="18"/>
                <w:shd w:val="clear" w:color="auto" w:fill="FFFFFF"/>
              </w:rPr>
              <w:t>联邦数据战略确立了40项具体数据管理实践。</w:t>
            </w:r>
          </w:p>
        </w:tc>
        <w:tc>
          <w:tcPr>
            <w:tcW w:w="1213" w:type="dxa"/>
            <w:tcBorders>
              <w:tl2br w:val="nil"/>
              <w:tr2bl w:val="nil"/>
            </w:tcBorders>
            <w:vAlign w:val="center"/>
          </w:tcPr>
          <w:p>
            <w:pPr>
              <w:spacing w:line="240" w:lineRule="auto"/>
              <w:ind w:firstLine="0" w:firstLineChars="0"/>
              <w:jc w:val="center"/>
              <w:rPr>
                <w:rFonts w:cs="Times New Roman"/>
                <w:color w:val="auto"/>
                <w:sz w:val="18"/>
                <w:szCs w:val="18"/>
              </w:rPr>
            </w:pPr>
            <w:r>
              <w:rPr>
                <w:rFonts w:hint="eastAsia" w:cs="Times New Roman"/>
                <w:color w:val="auto"/>
                <w:sz w:val="18"/>
                <w:szCs w:val="18"/>
              </w:rPr>
              <w:t>2</w:t>
            </w:r>
            <w:r>
              <w:rPr>
                <w:rFonts w:cs="Times New Roman"/>
                <w:color w:val="auto"/>
                <w:sz w:val="18"/>
                <w:szCs w:val="18"/>
              </w:rPr>
              <w:t>019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97" w:type="dxa"/>
            <w:tcBorders>
              <w:tl2br w:val="nil"/>
              <w:tr2bl w:val="nil"/>
            </w:tcBorders>
            <w:vAlign w:val="center"/>
          </w:tcPr>
          <w:p>
            <w:pPr>
              <w:spacing w:line="240" w:lineRule="auto"/>
              <w:ind w:firstLine="0" w:firstLineChars="0"/>
              <w:rPr>
                <w:rFonts w:ascii="宋体" w:hAnsi="宋体" w:cs="宋体"/>
                <w:color w:val="auto"/>
                <w:sz w:val="18"/>
                <w:szCs w:val="18"/>
                <w:shd w:val="clear" w:color="auto" w:fill="FFFFFF"/>
              </w:rPr>
            </w:pPr>
            <w:r>
              <w:rPr>
                <w:rFonts w:hint="eastAsia" w:ascii="宋体" w:hAnsi="宋体" w:cs="宋体"/>
                <w:color w:val="auto"/>
                <w:sz w:val="18"/>
                <w:szCs w:val="18"/>
                <w:shd w:val="clear" w:color="auto" w:fill="FFFFFF"/>
              </w:rPr>
              <w:t>《联邦数据战略2021行动计划》</w:t>
            </w:r>
          </w:p>
        </w:tc>
        <w:tc>
          <w:tcPr>
            <w:tcW w:w="1663" w:type="dxa"/>
            <w:tcBorders>
              <w:tl2br w:val="nil"/>
              <w:tr2bl w:val="nil"/>
            </w:tcBorders>
            <w:vAlign w:val="center"/>
          </w:tcPr>
          <w:p>
            <w:pPr>
              <w:spacing w:line="240" w:lineRule="auto"/>
              <w:ind w:firstLine="0" w:firstLineChars="0"/>
              <w:rPr>
                <w:rFonts w:ascii="宋体" w:hAnsi="宋体" w:cs="宋体"/>
                <w:color w:val="auto"/>
                <w:sz w:val="18"/>
                <w:szCs w:val="18"/>
                <w:shd w:val="clear" w:color="auto" w:fill="FFFFFF"/>
              </w:rPr>
            </w:pPr>
            <w:r>
              <w:rPr>
                <w:rFonts w:hint="eastAsia" w:ascii="宋体" w:hAnsi="宋体" w:cs="宋体"/>
                <w:color w:val="auto"/>
                <w:sz w:val="18"/>
                <w:szCs w:val="18"/>
                <w:shd w:val="clear" w:color="auto" w:fill="FFFFFF"/>
              </w:rPr>
              <w:t>美国行政管理和预算局（OMB）</w:t>
            </w:r>
          </w:p>
        </w:tc>
        <w:tc>
          <w:tcPr>
            <w:tcW w:w="3125" w:type="dxa"/>
            <w:tcBorders>
              <w:tl2br w:val="nil"/>
              <w:tr2bl w:val="nil"/>
            </w:tcBorders>
            <w:vAlign w:val="center"/>
          </w:tcPr>
          <w:p>
            <w:pPr>
              <w:spacing w:line="240" w:lineRule="auto"/>
              <w:ind w:firstLine="0" w:firstLineChars="0"/>
              <w:rPr>
                <w:rFonts w:ascii="Arial" w:hAnsi="Arial" w:cs="Arial"/>
                <w:color w:val="auto"/>
                <w:sz w:val="18"/>
                <w:szCs w:val="18"/>
                <w:shd w:val="clear" w:color="auto" w:fill="FFFFFF"/>
              </w:rPr>
            </w:pPr>
            <w:r>
              <w:rPr>
                <w:rFonts w:hint="eastAsia" w:ascii="Arial" w:hAnsi="Arial" w:cs="Arial"/>
                <w:color w:val="auto"/>
                <w:sz w:val="18"/>
                <w:szCs w:val="18"/>
                <w:shd w:val="clear" w:color="auto" w:fill="FFFFFF"/>
              </w:rPr>
              <w:t>以2020年机构行动为基础，为各机构提供了完成2020年未完全实现的行动以及推进其基础活动的灵活性。行动计划侧重于实践社区和共享解决方案行动，以进一步提高跨机构企业数据成熟度和通用数据方法，充分利用联邦数据的全部价值，与美国的价值观保持一致，用于使命，服务和公共利益。</w:t>
            </w:r>
          </w:p>
        </w:tc>
        <w:tc>
          <w:tcPr>
            <w:tcW w:w="1213" w:type="dxa"/>
            <w:tcBorders>
              <w:tl2br w:val="nil"/>
              <w:tr2bl w:val="nil"/>
            </w:tcBorders>
            <w:vAlign w:val="center"/>
          </w:tcPr>
          <w:p>
            <w:pPr>
              <w:spacing w:line="240" w:lineRule="auto"/>
              <w:ind w:firstLine="0" w:firstLineChars="0"/>
              <w:jc w:val="center"/>
              <w:rPr>
                <w:rFonts w:cs="Times New Roman"/>
                <w:color w:val="auto"/>
                <w:sz w:val="18"/>
                <w:szCs w:val="18"/>
              </w:rPr>
            </w:pPr>
            <w:r>
              <w:rPr>
                <w:rFonts w:hint="eastAsia" w:cs="Times New Roman"/>
                <w:color w:val="auto"/>
                <w:sz w:val="18"/>
                <w:szCs w:val="18"/>
              </w:rPr>
              <w:t>2021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97" w:type="dxa"/>
            <w:tcBorders>
              <w:tl2br w:val="nil"/>
              <w:tr2bl w:val="nil"/>
            </w:tcBorders>
            <w:vAlign w:val="center"/>
          </w:tcPr>
          <w:p>
            <w:pPr>
              <w:spacing w:line="240" w:lineRule="auto"/>
              <w:ind w:firstLine="0" w:firstLineChars="0"/>
              <w:rPr>
                <w:rFonts w:ascii="宋体" w:hAnsi="宋体" w:cs="宋体"/>
                <w:color w:val="auto"/>
                <w:sz w:val="18"/>
                <w:szCs w:val="18"/>
                <w:shd w:val="clear" w:color="auto" w:fill="FFFFFF"/>
              </w:rPr>
            </w:pPr>
            <w:r>
              <w:rPr>
                <w:rFonts w:hint="eastAsia" w:ascii="宋体" w:hAnsi="宋体" w:cs="宋体"/>
                <w:color w:val="auto"/>
                <w:sz w:val="18"/>
                <w:szCs w:val="18"/>
                <w:shd w:val="clear" w:color="auto" w:fill="FFFFFF"/>
              </w:rPr>
              <w:t>《联邦零信任架构战略》</w:t>
            </w:r>
          </w:p>
        </w:tc>
        <w:tc>
          <w:tcPr>
            <w:tcW w:w="1663" w:type="dxa"/>
            <w:tcBorders>
              <w:tl2br w:val="nil"/>
              <w:tr2bl w:val="nil"/>
            </w:tcBorders>
            <w:vAlign w:val="center"/>
          </w:tcPr>
          <w:p>
            <w:pPr>
              <w:spacing w:line="240" w:lineRule="auto"/>
              <w:ind w:firstLine="0" w:firstLineChars="0"/>
              <w:rPr>
                <w:rFonts w:ascii="宋体" w:hAnsi="宋体" w:cs="宋体"/>
                <w:color w:val="auto"/>
                <w:sz w:val="18"/>
                <w:szCs w:val="18"/>
                <w:shd w:val="clear" w:color="auto" w:fill="FFFFFF"/>
              </w:rPr>
            </w:pPr>
            <w:r>
              <w:rPr>
                <w:rFonts w:hint="eastAsia" w:ascii="宋体" w:hAnsi="宋体" w:cs="宋体"/>
                <w:color w:val="auto"/>
                <w:sz w:val="18"/>
                <w:szCs w:val="18"/>
                <w:shd w:val="clear" w:color="auto" w:fill="FFFFFF"/>
              </w:rPr>
              <w:t>美国行政管理和预算局（OMB）</w:t>
            </w:r>
          </w:p>
        </w:tc>
        <w:tc>
          <w:tcPr>
            <w:tcW w:w="3125" w:type="dxa"/>
            <w:tcBorders>
              <w:tl2br w:val="nil"/>
              <w:tr2bl w:val="nil"/>
            </w:tcBorders>
            <w:vAlign w:val="center"/>
          </w:tcPr>
          <w:p>
            <w:pPr>
              <w:spacing w:line="240" w:lineRule="auto"/>
              <w:ind w:firstLine="0" w:firstLineChars="0"/>
              <w:rPr>
                <w:rFonts w:ascii="Arial" w:hAnsi="Arial" w:cs="Arial"/>
                <w:color w:val="auto"/>
                <w:sz w:val="18"/>
                <w:szCs w:val="18"/>
                <w:shd w:val="clear" w:color="auto" w:fill="FFFFFF"/>
              </w:rPr>
            </w:pPr>
            <w:r>
              <w:rPr>
                <w:rFonts w:hint="eastAsia" w:ascii="Arial" w:hAnsi="Arial" w:cs="Arial"/>
                <w:color w:val="auto"/>
                <w:sz w:val="18"/>
                <w:szCs w:val="18"/>
                <w:shd w:val="clear" w:color="auto" w:fill="FFFFFF"/>
              </w:rPr>
              <w:t>联邦零信任架构战略，要求各机构在2024财年结束前达到特定的网络安全标准和目标，以加强政府对日益复杂和持续的威胁活动的防御。此战略针对的是改善联邦信息基础设施，保护科学数据的安全和隐私，加强对政府的信任度。</w:t>
            </w:r>
          </w:p>
        </w:tc>
        <w:tc>
          <w:tcPr>
            <w:tcW w:w="1213" w:type="dxa"/>
            <w:tcBorders>
              <w:tl2br w:val="nil"/>
              <w:tr2bl w:val="nil"/>
            </w:tcBorders>
            <w:vAlign w:val="center"/>
          </w:tcPr>
          <w:p>
            <w:pPr>
              <w:spacing w:line="240" w:lineRule="auto"/>
              <w:ind w:firstLine="0" w:firstLineChars="0"/>
              <w:jc w:val="center"/>
              <w:rPr>
                <w:rFonts w:cs="Times New Roman"/>
                <w:color w:val="auto"/>
                <w:sz w:val="18"/>
                <w:szCs w:val="18"/>
              </w:rPr>
            </w:pPr>
            <w:r>
              <w:rPr>
                <w:rFonts w:hint="eastAsia" w:cs="Times New Roman"/>
                <w:color w:val="auto"/>
                <w:sz w:val="18"/>
                <w:szCs w:val="18"/>
              </w:rPr>
              <w:t>2022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97" w:type="dxa"/>
            <w:tcBorders>
              <w:tl2br w:val="nil"/>
              <w:tr2bl w:val="nil"/>
            </w:tcBorders>
            <w:vAlign w:val="center"/>
          </w:tcPr>
          <w:p>
            <w:pPr>
              <w:spacing w:line="240" w:lineRule="auto"/>
              <w:ind w:firstLine="0" w:firstLineChars="0"/>
              <w:rPr>
                <w:rFonts w:ascii="宋体" w:hAnsi="宋体" w:cs="宋体"/>
                <w:color w:val="auto"/>
                <w:sz w:val="18"/>
                <w:szCs w:val="18"/>
                <w:shd w:val="clear" w:color="auto" w:fill="FFFFFF"/>
              </w:rPr>
            </w:pPr>
            <w:r>
              <w:rPr>
                <w:rFonts w:hint="eastAsia" w:cs="Times New Roman"/>
                <w:color w:val="auto"/>
                <w:sz w:val="18"/>
                <w:szCs w:val="18"/>
              </w:rPr>
              <w:t>《促进数据共享与分析中的隐私保护国家战略》</w:t>
            </w:r>
            <w:r>
              <w:rPr>
                <w:rFonts w:hint="eastAsia"/>
                <w:vertAlign w:val="superscript"/>
              </w:rPr>
              <w:t>[</w:t>
            </w:r>
            <w:r>
              <w:rPr>
                <w:rFonts w:hint="eastAsia"/>
                <w:vertAlign w:val="superscript"/>
                <w:lang w:val="en-US" w:eastAsia="zh-CN"/>
              </w:rPr>
              <w:t>37</w:t>
            </w:r>
            <w:r>
              <w:rPr>
                <w:rFonts w:hint="eastAsia"/>
                <w:vertAlign w:val="superscript"/>
              </w:rPr>
              <w:t>]</w:t>
            </w:r>
          </w:p>
        </w:tc>
        <w:tc>
          <w:tcPr>
            <w:tcW w:w="1663" w:type="dxa"/>
            <w:tcBorders>
              <w:tl2br w:val="nil"/>
              <w:tr2bl w:val="nil"/>
            </w:tcBorders>
            <w:vAlign w:val="center"/>
          </w:tcPr>
          <w:p>
            <w:pPr>
              <w:spacing w:line="240" w:lineRule="auto"/>
              <w:ind w:firstLine="0" w:firstLineChars="0"/>
              <w:rPr>
                <w:rFonts w:ascii="宋体" w:hAnsi="宋体" w:cs="宋体"/>
                <w:color w:val="auto"/>
                <w:sz w:val="18"/>
                <w:szCs w:val="18"/>
                <w:shd w:val="clear" w:color="auto" w:fill="FFFFFF"/>
              </w:rPr>
            </w:pPr>
            <w:r>
              <w:rPr>
                <w:rFonts w:cs="Times New Roman"/>
                <w:color w:val="auto"/>
                <w:sz w:val="18"/>
                <w:szCs w:val="18"/>
              </w:rPr>
              <w:t>白宫科技政策办公室(OSTP)</w:t>
            </w:r>
          </w:p>
        </w:tc>
        <w:tc>
          <w:tcPr>
            <w:tcW w:w="3125" w:type="dxa"/>
            <w:tcBorders>
              <w:tl2br w:val="nil"/>
              <w:tr2bl w:val="nil"/>
            </w:tcBorders>
            <w:vAlign w:val="center"/>
          </w:tcPr>
          <w:p>
            <w:pPr>
              <w:spacing w:line="240" w:lineRule="auto"/>
              <w:ind w:firstLine="0" w:firstLineChars="0"/>
              <w:rPr>
                <w:rFonts w:ascii="Arial" w:hAnsi="Arial" w:cs="Arial"/>
                <w:color w:val="auto"/>
                <w:sz w:val="18"/>
                <w:szCs w:val="18"/>
                <w:shd w:val="clear" w:color="auto" w:fill="FFFFFF"/>
              </w:rPr>
            </w:pPr>
            <w:r>
              <w:rPr>
                <w:rFonts w:hint="eastAsia" w:cs="Times New Roman"/>
                <w:color w:val="auto"/>
                <w:sz w:val="18"/>
                <w:szCs w:val="18"/>
              </w:rPr>
              <w:t>支持PPDSA（Privacy-Preserving Data Sharing and Analytics）技术。平衡数据收集、分析与伦理社会技术问题的解决方案，它利用隐私增强技术进行数据分析、获取数据价值，同时确保用户隐私、秘密安全。</w:t>
            </w:r>
          </w:p>
        </w:tc>
        <w:tc>
          <w:tcPr>
            <w:tcW w:w="1213" w:type="dxa"/>
            <w:tcBorders>
              <w:tl2br w:val="nil"/>
              <w:tr2bl w:val="nil"/>
            </w:tcBorders>
            <w:vAlign w:val="center"/>
          </w:tcPr>
          <w:p>
            <w:pPr>
              <w:spacing w:line="240" w:lineRule="auto"/>
              <w:ind w:firstLine="0" w:firstLineChars="0"/>
              <w:jc w:val="center"/>
              <w:rPr>
                <w:rFonts w:cs="Times New Roman"/>
                <w:color w:val="auto"/>
                <w:sz w:val="18"/>
                <w:szCs w:val="18"/>
              </w:rPr>
            </w:pPr>
            <w:r>
              <w:rPr>
                <w:rFonts w:hint="eastAsia" w:cs="Times New Roman"/>
                <w:color w:val="auto"/>
                <w:sz w:val="18"/>
                <w:szCs w:val="18"/>
              </w:rPr>
              <w:t>2023</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ind w:firstLine="420"/>
      </w:pPr>
      <w:r>
        <w:separator/>
      </w:r>
    </w:p>
  </w:footnote>
  <w:footnote w:type="continuationSeparator" w:id="1">
    <w:p>
      <w:pPr>
        <w:spacing w:line="276"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kZjYyZTVkMDZmOWEyYmUzM2Y0ZDhiMDJlZTBlMTcifQ=="/>
  </w:docVars>
  <w:rsids>
    <w:rsidRoot w:val="05187EC6"/>
    <w:rsid w:val="05187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ind w:firstLine="883" w:firstLineChars="200"/>
      <w:jc w:val="both"/>
    </w:pPr>
    <w:rPr>
      <w:rFonts w:ascii="Times New Roman" w:hAnsi="Times New Roman" w:eastAsia="宋体" w:cstheme="minorBidi"/>
      <w:color w:val="000000" w:themeColor="text1"/>
      <w:kern w:val="2"/>
      <w:sz w:val="21"/>
      <w:szCs w:val="24"/>
      <w:lang w:val="en-US" w:eastAsia="zh-CN" w:bidi="ar-SA"/>
      <w14:textFill>
        <w14:solidFill>
          <w14:schemeClr w14:val="tx1"/>
        </w14:solidFill>
      </w14:textFill>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2023-08-24T02:51:00Z</dcterms:created>
  <dc:creator>文档存本地丢失不负责</dc:creator>
  <cp:lastModifiedBy>文档存本地丢失不负责</cp:lastModifiedBy>
  <dcterms:modified xsi:type="dcterms:W3CDTF">2023-08-24T02:51:33Z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C35FF08495FB45E085E442D206BF100C_11</vt:lpwstr>
  </property>
</Properties>
</file>