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before="157" w:beforeLines="50" w:after="157" w:afterLines="50"/>
        <w:jc w:val="center"/>
        <w:textAlignment w:val="auto"/>
        <w:rPr>
          <w:rFonts w:ascii="Times New Roman" w:hAnsi="Times New Roman" w:eastAsia="宋体" w:cs="Times New Roman"/>
          <w:b w:val="0"/>
          <w:bCs w:val="0"/>
          <w:sz w:val="18"/>
          <w:szCs w:val="18"/>
        </w:rPr>
      </w:pPr>
      <w:r>
        <w:rPr>
          <w:rFonts w:ascii="Times New Roman" w:hAnsi="Times New Roman" w:eastAsia="宋体" w:cs="Times New Roman"/>
          <w:b w:val="0"/>
          <w:bCs w:val="0"/>
          <w:sz w:val="18"/>
          <w:szCs w:val="18"/>
        </w:rPr>
        <w:t>表 2-3</w:t>
      </w:r>
      <w:r>
        <w:rPr>
          <w:rFonts w:hint="eastAsia" w:ascii="Times New Roman" w:hAnsi="Times New Roman" w:eastAsia="宋体" w:cs="Times New Roman"/>
          <w:b w:val="0"/>
          <w:bCs w:val="0"/>
          <w:sz w:val="18"/>
          <w:szCs w:val="18"/>
          <w:lang w:val="en-US" w:eastAsia="zh-CN"/>
        </w:rPr>
        <w:t xml:space="preserve">6 </w:t>
      </w:r>
      <w:r>
        <w:rPr>
          <w:rFonts w:hint="eastAsia" w:ascii="Times New Roman" w:hAnsi="Times New Roman" w:eastAsia="宋体" w:cs="Times New Roman"/>
          <w:b w:val="0"/>
          <w:bCs w:val="0"/>
          <w:sz w:val="18"/>
          <w:szCs w:val="18"/>
        </w:rPr>
        <w:t>巴西科学数据支持与监管机构</w:t>
      </w:r>
    </w:p>
    <w:tbl>
      <w:tblPr>
        <w:tblStyle w:val="3"/>
        <w:tblW w:w="0" w:type="auto"/>
        <w:tblInd w:w="0" w:type="dxa"/>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2907"/>
        <w:gridCol w:w="5483"/>
      </w:tblGrid>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2907" w:type="dxa"/>
            <w:vAlign w:val="center"/>
          </w:tcPr>
          <w:p>
            <w:pPr>
              <w:spacing w:line="276" w:lineRule="auto"/>
              <w:jc w:val="center"/>
              <w:rPr>
                <w:rFonts w:ascii="Times New Roman" w:hAnsi="Times New Roman" w:eastAsia="宋体" w:cs="Times New Roman"/>
                <w:b w:val="0"/>
                <w:bCs w:val="0"/>
                <w:kern w:val="0"/>
                <w:sz w:val="18"/>
                <w:szCs w:val="18"/>
                <w:lang w:val="en-US" w:eastAsia="zh-CN" w:bidi="ar-SA"/>
                <w14:ligatures w14:val="none"/>
              </w:rPr>
            </w:pPr>
            <w:r>
              <w:rPr>
                <w:rFonts w:ascii="Times New Roman" w:hAnsi="Times New Roman" w:eastAsia="宋体" w:cs="Times New Roman"/>
                <w:b w:val="0"/>
                <w:bCs w:val="0"/>
                <w:sz w:val="18"/>
                <w:szCs w:val="18"/>
              </w:rPr>
              <w:t>政策名称（体系）</w:t>
            </w:r>
          </w:p>
        </w:tc>
        <w:tc>
          <w:tcPr>
            <w:tcW w:w="5483" w:type="dxa"/>
            <w:vAlign w:val="center"/>
          </w:tcPr>
          <w:p>
            <w:pPr>
              <w:spacing w:line="276" w:lineRule="auto"/>
              <w:jc w:val="center"/>
              <w:rPr>
                <w:rFonts w:ascii="Times New Roman" w:hAnsi="Times New Roman" w:eastAsia="宋体" w:cs="Times New Roman"/>
                <w:b w:val="0"/>
                <w:bCs w:val="0"/>
                <w:kern w:val="0"/>
                <w:sz w:val="18"/>
                <w:szCs w:val="18"/>
                <w:lang w:val="en-US" w:eastAsia="zh-CN" w:bidi="ar-SA"/>
                <w14:ligatures w14:val="none"/>
              </w:rPr>
            </w:pPr>
            <w:r>
              <w:rPr>
                <w:rFonts w:ascii="Times New Roman" w:hAnsi="Times New Roman" w:eastAsia="宋体" w:cs="Times New Roman"/>
                <w:b w:val="0"/>
                <w:bCs w:val="0"/>
                <w:sz w:val="18"/>
                <w:szCs w:val="18"/>
              </w:rPr>
              <w:t>针对主题</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2907" w:type="dxa"/>
            <w:vAlign w:val="center"/>
          </w:tcPr>
          <w:p>
            <w:pPr>
              <w:spacing w:line="276" w:lineRule="auto"/>
              <w:jc w:val="center"/>
              <w:rPr>
                <w:rFonts w:ascii="Times New Roman" w:hAnsi="Times New Roman" w:eastAsia="宋体" w:cs="Times New Roman"/>
                <w:kern w:val="0"/>
                <w:sz w:val="18"/>
                <w:szCs w:val="18"/>
              </w:rPr>
            </w:pPr>
            <w:r>
              <w:fldChar w:fldCharType="begin"/>
            </w:r>
            <w:r>
              <w:instrText xml:space="preserve"> HYPERLINK "https://www.cnpd.pt/" </w:instrText>
            </w:r>
            <w:r>
              <w:fldChar w:fldCharType="separate"/>
            </w:r>
            <w:r>
              <w:rPr>
                <w:rFonts w:hint="eastAsia" w:ascii="Times New Roman" w:hAnsi="Times New Roman" w:eastAsia="宋体" w:cs="Times New Roman"/>
                <w:sz w:val="18"/>
                <w:szCs w:val="18"/>
                <w:shd w:val="clear" w:color="auto" w:fill="FFFFFF"/>
              </w:rPr>
              <w:t>国家数据保护委员会</w:t>
            </w:r>
            <w:r>
              <w:rPr>
                <w:rFonts w:hint="eastAsia" w:ascii="Times New Roman" w:hAnsi="Times New Roman" w:eastAsia="宋体" w:cs="Times New Roman"/>
                <w:sz w:val="18"/>
                <w:szCs w:val="18"/>
                <w:shd w:val="clear" w:color="auto" w:fill="FFFFFF"/>
              </w:rPr>
              <w:fldChar w:fldCharType="end"/>
            </w:r>
            <w:r>
              <w:rPr>
                <w:rFonts w:ascii="Times New Roman" w:hAnsi="Times New Roman" w:eastAsia="宋体" w:cs="Times New Roman"/>
                <w:sz w:val="18"/>
                <w:szCs w:val="18"/>
                <w:shd w:val="clear" w:color="auto" w:fill="FFFFFF"/>
              </w:rPr>
              <w:br w:type="textWrapping"/>
            </w:r>
            <w:r>
              <w:rPr>
                <w:rFonts w:ascii="Times New Roman" w:hAnsi="Times New Roman" w:eastAsia="宋体" w:cs="Times New Roman"/>
                <w:sz w:val="18"/>
                <w:szCs w:val="18"/>
                <w:shd w:val="clear" w:color="auto" w:fill="FFFFFF"/>
              </w:rPr>
              <w:t>(National Personal Data and Privacy Protection Committee, CNPD)</w:t>
            </w:r>
          </w:p>
        </w:tc>
        <w:tc>
          <w:tcPr>
            <w:tcW w:w="5483" w:type="dxa"/>
            <w:vAlign w:val="center"/>
          </w:tcPr>
          <w:p>
            <w:pPr>
              <w:spacing w:line="276" w:lineRule="auto"/>
              <w:rPr>
                <w:rFonts w:ascii="Times New Roman" w:hAnsi="Times New Roman" w:eastAsia="宋体" w:cs="Times New Roman"/>
                <w:kern w:val="0"/>
                <w:sz w:val="18"/>
                <w:szCs w:val="18"/>
              </w:rPr>
            </w:pPr>
            <w:r>
              <w:rPr>
                <w:rFonts w:ascii="Times New Roman" w:hAnsi="Times New Roman" w:eastAsia="宋体" w:cs="Times New Roman"/>
                <w:sz w:val="18"/>
                <w:szCs w:val="18"/>
                <w:shd w:val="clear" w:color="auto" w:fill="FFFFFF"/>
              </w:rPr>
              <w:t>CNPD</w:t>
            </w:r>
            <w:r>
              <w:rPr>
                <w:rFonts w:hint="eastAsia" w:ascii="Times New Roman" w:hAnsi="Times New Roman" w:eastAsia="宋体" w:cs="Times New Roman"/>
                <w:sz w:val="18"/>
                <w:szCs w:val="18"/>
                <w:shd w:val="clear" w:color="auto" w:fill="FFFFFF"/>
              </w:rPr>
              <w:t>作为一个独立的行政实体，具有公法规定的法人资格和权力，具有行政和财政自主权，与共和国议会合作。旨在保障个人数据隐私安全，以便在处理其个人数据时捍卫自然人的权利、自由和保障。</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2907" w:type="dxa"/>
            <w:vAlign w:val="center"/>
          </w:tcPr>
          <w:p>
            <w:pPr>
              <w:spacing w:line="276" w:lineRule="auto"/>
              <w:jc w:val="center"/>
              <w:rPr>
                <w:rFonts w:ascii="Times New Roman" w:hAnsi="Times New Roman" w:eastAsia="宋体" w:cs="Times New Roman"/>
                <w:kern w:val="0"/>
                <w:sz w:val="18"/>
                <w:szCs w:val="18"/>
              </w:rPr>
            </w:pPr>
            <w:r>
              <w:rPr>
                <w:rFonts w:hint="eastAsia" w:ascii="Times New Roman" w:hAnsi="Times New Roman" w:eastAsia="宋体" w:cs="Times New Roman"/>
                <w:sz w:val="18"/>
                <w:szCs w:val="18"/>
                <w:shd w:val="clear" w:color="auto" w:fill="FFFFFF"/>
              </w:rPr>
              <w:t>国家个人数据保护局</w:t>
            </w:r>
            <w:r>
              <w:rPr>
                <w:rFonts w:ascii="Times New Roman" w:hAnsi="Times New Roman" w:eastAsia="宋体" w:cs="Times New Roman"/>
                <w:sz w:val="18"/>
                <w:szCs w:val="18"/>
                <w:shd w:val="clear" w:color="auto" w:fill="FFFFFF"/>
              </w:rPr>
              <w:br w:type="textWrapping"/>
            </w:r>
            <w:r>
              <w:rPr>
                <w:rFonts w:ascii="Times New Roman" w:hAnsi="Times New Roman" w:eastAsia="宋体" w:cs="Times New Roman"/>
                <w:sz w:val="18"/>
                <w:szCs w:val="18"/>
                <w:shd w:val="clear" w:color="auto" w:fill="FFFFFF"/>
              </w:rPr>
              <w:t xml:space="preserve">(Agency National Personal Data Protection, </w:t>
            </w:r>
            <w:r>
              <w:rPr>
                <w:rFonts w:hint="eastAsia" w:ascii="Times New Roman" w:hAnsi="Times New Roman" w:eastAsia="宋体" w:cs="Times New Roman"/>
                <w:sz w:val="18"/>
                <w:szCs w:val="18"/>
                <w:shd w:val="clear" w:color="auto" w:fill="FFFFFF"/>
              </w:rPr>
              <w:t>ANPD)</w:t>
            </w:r>
          </w:p>
        </w:tc>
        <w:tc>
          <w:tcPr>
            <w:tcW w:w="5483" w:type="dxa"/>
            <w:vAlign w:val="center"/>
          </w:tcPr>
          <w:p>
            <w:pPr>
              <w:spacing w:line="276" w:lineRule="auto"/>
              <w:rPr>
                <w:rFonts w:ascii="Times New Roman" w:hAnsi="Times New Roman" w:eastAsia="宋体" w:cs="Times New Roman"/>
                <w:kern w:val="0"/>
                <w:sz w:val="18"/>
                <w:szCs w:val="18"/>
              </w:rPr>
            </w:pPr>
            <w:r>
              <w:rPr>
                <w:rFonts w:ascii="Times New Roman" w:hAnsi="Times New Roman" w:eastAsia="宋体" w:cs="Times New Roman"/>
                <w:sz w:val="18"/>
                <w:szCs w:val="18"/>
                <w:shd w:val="clear" w:color="auto" w:fill="FFFFFF"/>
              </w:rPr>
              <w:t>ANPD</w:t>
            </w:r>
            <w:r>
              <w:rPr>
                <w:rFonts w:hint="eastAsia" w:ascii="Times New Roman" w:hAnsi="Times New Roman" w:eastAsia="宋体" w:cs="Times New Roman"/>
                <w:sz w:val="18"/>
                <w:szCs w:val="18"/>
                <w:shd w:val="clear" w:color="auto" w:fill="FFFFFF"/>
              </w:rPr>
              <w:t>是联邦公共行政机构，负责确保个人数据的保护，并指导、规范和监督对立法的遵守。旨在为改善个人数据处理代理监管的举措提供广泛的透明度和可见性，并介绍所包含的每个项目的进展情况，以便向社会提供最新信息。</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2907" w:type="dxa"/>
            <w:vAlign w:val="center"/>
          </w:tcPr>
          <w:p>
            <w:pPr>
              <w:spacing w:line="276" w:lineRule="auto"/>
              <w:jc w:val="center"/>
              <w:rPr>
                <w:rFonts w:ascii="Times New Roman" w:hAnsi="Times New Roman" w:eastAsia="宋体" w:cs="Times New Roman"/>
                <w:kern w:val="0"/>
                <w:sz w:val="18"/>
                <w:szCs w:val="18"/>
              </w:rPr>
            </w:pPr>
            <w:r>
              <w:rPr>
                <w:rFonts w:hint="eastAsia" w:ascii="Times New Roman" w:hAnsi="Times New Roman" w:eastAsia="宋体" w:cs="Times New Roman"/>
                <w:sz w:val="18"/>
                <w:szCs w:val="18"/>
                <w:shd w:val="clear" w:color="auto" w:fill="FFFFFF"/>
              </w:rPr>
              <w:t>国家科学技术发展委员会（</w:t>
            </w:r>
            <w:r>
              <w:rPr>
                <w:rFonts w:ascii="Times New Roman" w:hAnsi="Times New Roman" w:eastAsia="宋体" w:cs="Times New Roman"/>
                <w:sz w:val="18"/>
                <w:szCs w:val="18"/>
                <w:shd w:val="clear" w:color="auto" w:fill="FFFFFF"/>
              </w:rPr>
              <w:t>CNPq</w:t>
            </w:r>
            <w:r>
              <w:rPr>
                <w:rFonts w:hint="eastAsia" w:ascii="Times New Roman" w:hAnsi="Times New Roman" w:eastAsia="宋体" w:cs="Times New Roman"/>
                <w:sz w:val="18"/>
                <w:szCs w:val="18"/>
                <w:shd w:val="clear" w:color="auto" w:fill="FFFFFF"/>
              </w:rPr>
              <w:t>）</w:t>
            </w:r>
          </w:p>
        </w:tc>
        <w:tc>
          <w:tcPr>
            <w:tcW w:w="5483" w:type="dxa"/>
            <w:vAlign w:val="center"/>
          </w:tcPr>
          <w:p>
            <w:pPr>
              <w:spacing w:line="276" w:lineRule="auto"/>
              <w:rPr>
                <w:rFonts w:ascii="Times New Roman" w:hAnsi="Times New Roman" w:eastAsia="宋体" w:cs="Times New Roman"/>
                <w:kern w:val="0"/>
                <w:sz w:val="18"/>
                <w:szCs w:val="18"/>
              </w:rPr>
            </w:pPr>
            <w:r>
              <w:rPr>
                <w:rFonts w:hint="eastAsia" w:ascii="Times New Roman" w:hAnsi="Times New Roman" w:eastAsia="宋体" w:cs="Times New Roman"/>
                <w:sz w:val="18"/>
                <w:szCs w:val="18"/>
                <w:shd w:val="clear" w:color="auto" w:fill="FFFFFF"/>
              </w:rPr>
              <w:t>CNPq是与科学、技术、创新和通信部有联系的公共基金会，在制定和实施科学、技术和创新公共政策方面发挥着关键作用。旨在促进科学、技术和创新研究，并促进培养合格的人力资源，以便在所有知识领域进行研究。</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2907" w:type="dxa"/>
            <w:vAlign w:val="center"/>
          </w:tcPr>
          <w:p>
            <w:pPr>
              <w:spacing w:line="276" w:lineRule="auto"/>
              <w:jc w:val="center"/>
              <w:rPr>
                <w:rFonts w:ascii="Times New Roman" w:hAnsi="Times New Roman" w:eastAsia="宋体" w:cs="Times New Roman"/>
                <w:kern w:val="0"/>
                <w:sz w:val="18"/>
                <w:szCs w:val="18"/>
              </w:rPr>
            </w:pPr>
            <w:r>
              <w:rPr>
                <w:rFonts w:hint="eastAsia" w:ascii="Times New Roman" w:hAnsi="Times New Roman" w:eastAsia="宋体" w:cs="Times New Roman"/>
                <w:sz w:val="18"/>
                <w:szCs w:val="18"/>
                <w:shd w:val="clear" w:color="auto" w:fill="FFFFFF"/>
              </w:rPr>
              <w:t>圣保罗研究基金会（FAPESP）</w:t>
            </w:r>
          </w:p>
        </w:tc>
        <w:tc>
          <w:tcPr>
            <w:tcW w:w="5483" w:type="dxa"/>
            <w:vAlign w:val="center"/>
          </w:tcPr>
          <w:p>
            <w:pPr>
              <w:spacing w:line="276" w:lineRule="auto"/>
              <w:rPr>
                <w:rFonts w:ascii="Times New Roman" w:hAnsi="Times New Roman" w:eastAsia="宋体" w:cs="Times New Roman"/>
                <w:kern w:val="0"/>
                <w:sz w:val="18"/>
                <w:szCs w:val="18"/>
              </w:rPr>
            </w:pPr>
            <w:r>
              <w:rPr>
                <w:rFonts w:ascii="Times New Roman" w:hAnsi="Times New Roman" w:eastAsia="宋体" w:cs="Times New Roman"/>
                <w:sz w:val="18"/>
                <w:szCs w:val="18"/>
                <w:shd w:val="clear" w:color="auto" w:fill="FFFFFF"/>
              </w:rPr>
              <w:t>FAPESP</w:t>
            </w:r>
            <w:r>
              <w:rPr>
                <w:rFonts w:hint="eastAsia" w:ascii="Times New Roman" w:hAnsi="Times New Roman" w:eastAsia="宋体" w:cs="Times New Roman"/>
                <w:sz w:val="18"/>
                <w:szCs w:val="18"/>
                <w:shd w:val="clear" w:color="auto" w:fill="FFFFFF"/>
              </w:rPr>
              <w:t>规定管理和共享基金会资助的项目所产生的科研数据成果，以确保为科学、技术、社会经济和文化进步带来最大利益。除使资源合理化外，对数据的适当管理还有助于研究的可重复性，并允许促进新的研究，提高数据资源的共享和重用性。</w:t>
            </w:r>
          </w:p>
        </w:tc>
      </w:tr>
    </w:tbl>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3"/>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DBjOWRkNWRiOWRiNmFjOTA4M2QxNzg5ZDBmMGQ1ZWQifQ=="/>
  </w:docVars>
  <w:rsids>
    <w:rsidRoot w:val="004345EC"/>
    <w:rsid w:val="004345EC"/>
    <w:rsid w:val="2B671112"/>
    <w:rsid w:val="30E82E84"/>
    <w:rsid w:val="3BB22A8D"/>
    <w:rsid w:val="58E2574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14:ligatures w14:val="none"/>
    </w:rPr>
  </w:style>
  <w:style w:type="character" w:default="1" w:styleId="4">
    <w:name w:val="Default Paragraph Font"/>
    <w:semiHidden/>
    <w:unhideWhenUsed/>
    <w:qFormat/>
    <w:uiPriority w:val="1"/>
  </w:style>
  <w:style w:type="table" w:default="1" w:styleId="2">
    <w:name w:val="Normal Table"/>
    <w:semiHidden/>
    <w:unhideWhenUsed/>
    <w:qFormat/>
    <w:uiPriority w:val="99"/>
    <w:tblPr>
      <w:tblCellMar>
        <w:top w:w="0" w:type="dxa"/>
        <w:left w:w="108" w:type="dxa"/>
        <w:bottom w:w="0" w:type="dxa"/>
        <w:right w:w="108" w:type="dxa"/>
      </w:tblCellMar>
    </w:tblPr>
  </w:style>
  <w:style w:type="table" w:styleId="3">
    <w:name w:val="Table Grid"/>
    <w:basedOn w:val="2"/>
    <w:qFormat/>
    <w:uiPriority w:val="0"/>
    <w:rPr>
      <w:rFonts w:ascii="Calibri" w:hAnsi="Calibri" w:eastAsia="宋体" w:cs="Calibri"/>
      <w:kern w:val="0"/>
      <w:sz w:val="20"/>
      <w:szCs w:val="20"/>
      <w14:ligatures w14:val="none"/>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cPr>
      <w:tcBorders>
        <w:top w:val="single" w:color="auto" w:sz="4" w:space="0"/>
        <w:left w:val="single" w:color="auto" w:sz="4" w:space="0"/>
        <w:bottom w:val="single" w:color="auto" w:sz="4" w:space="0"/>
        <w:right w:val="single" w:color="auto" w:sz="4" w:space="0"/>
      </w:tcBorders>
    </w:tc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987</Words>
  <Characters>1088</Characters>
  <Lines>9</Lines>
  <Paragraphs>2</Paragraphs>
  <TotalTime>1</TotalTime>
  <ScaleCrop>false</ScaleCrop>
  <LinksUpToDate>false</LinksUpToDate>
  <CharactersWithSpaces>1094</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2023-09-07T14:18:00Z</dcterms:created>
  <dc:creator>NTKO</dc:creator>
  <cp:lastModifiedBy>ZJ</cp:lastModifiedBy>
  <dcterms:modified xsi:type="dcterms:W3CDTF">2023-09-14T06:55:33Z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443C494631C740BB975EF1BEC686A702_13</vt:lpwstr>
  </property>
</Properties>
</file>